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96EB2F" w14:textId="77777777" w:rsidR="00900CA9" w:rsidRDefault="00900CA9" w:rsidP="007E2D82">
      <w:pPr>
        <w:pStyle w:val="NormalWeb"/>
        <w:shd w:val="clear" w:color="auto" w:fill="FFFFFF"/>
        <w:spacing w:before="0" w:beforeAutospacing="0" w:after="0" w:afterAutospacing="0" w:line="375" w:lineRule="atLeast"/>
        <w:rPr>
          <w:rStyle w:val="Strong"/>
          <w:rFonts w:ascii="Montserrat" w:hAnsi="Montserrat"/>
          <w:b w:val="0"/>
          <w:bCs w:val="0"/>
          <w:color w:val="000080"/>
        </w:rPr>
      </w:pPr>
    </w:p>
    <w:p w14:paraId="5F9E1569" w14:textId="77777777" w:rsidR="00900CA9" w:rsidRDefault="00900CA9" w:rsidP="007E2D82">
      <w:pPr>
        <w:pStyle w:val="NormalWeb"/>
        <w:shd w:val="clear" w:color="auto" w:fill="FFFFFF"/>
        <w:spacing w:before="0" w:beforeAutospacing="0" w:after="0" w:afterAutospacing="0" w:line="375" w:lineRule="atLeast"/>
        <w:rPr>
          <w:rStyle w:val="Strong"/>
          <w:rFonts w:ascii="Montserrat" w:hAnsi="Montserrat"/>
          <w:b w:val="0"/>
          <w:bCs w:val="0"/>
          <w:color w:val="000080"/>
        </w:rPr>
      </w:pPr>
    </w:p>
    <w:p w14:paraId="28DEB5DD" w14:textId="2A9D34DE" w:rsidR="00900CA9" w:rsidRDefault="00900CA9" w:rsidP="007E2D82">
      <w:pPr>
        <w:pStyle w:val="NormalWeb"/>
        <w:shd w:val="clear" w:color="auto" w:fill="FFFFFF"/>
        <w:spacing w:before="0" w:beforeAutospacing="0" w:after="0" w:afterAutospacing="0" w:line="375" w:lineRule="atLeast"/>
        <w:rPr>
          <w:rStyle w:val="Strong"/>
          <w:rFonts w:ascii="Montserrat" w:hAnsi="Montserrat"/>
          <w:b w:val="0"/>
          <w:bCs w:val="0"/>
          <w:color w:val="000080"/>
        </w:rPr>
      </w:pPr>
      <w:r>
        <w:rPr>
          <w:noProof/>
        </w:rPr>
        <w:drawing>
          <wp:inline distT="0" distB="0" distL="0" distR="0" wp14:anchorId="63E78F32" wp14:editId="421BB78B">
            <wp:extent cx="5943600" cy="4098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4098925"/>
                    </a:xfrm>
                    <a:prstGeom prst="rect">
                      <a:avLst/>
                    </a:prstGeom>
                    <a:noFill/>
                    <a:ln>
                      <a:noFill/>
                    </a:ln>
                  </pic:spPr>
                </pic:pic>
              </a:graphicData>
            </a:graphic>
          </wp:inline>
        </w:drawing>
      </w:r>
      <w:bookmarkStart w:id="0" w:name="_GoBack"/>
      <w:bookmarkEnd w:id="0"/>
    </w:p>
    <w:p w14:paraId="48F73C43" w14:textId="4EA847FE" w:rsidR="007E2D82" w:rsidRDefault="007E2D82" w:rsidP="007E2D82">
      <w:pPr>
        <w:pStyle w:val="NormalWeb"/>
        <w:shd w:val="clear" w:color="auto" w:fill="FFFFFF"/>
        <w:spacing w:before="0" w:beforeAutospacing="0" w:after="0" w:afterAutospacing="0" w:line="375" w:lineRule="atLeast"/>
        <w:rPr>
          <w:rFonts w:ascii="Montserrat" w:hAnsi="Montserrat"/>
          <w:color w:val="717171"/>
        </w:rPr>
      </w:pPr>
      <w:r>
        <w:rPr>
          <w:rStyle w:val="Strong"/>
          <w:rFonts w:ascii="Montserrat" w:hAnsi="Montserrat"/>
          <w:b w:val="0"/>
          <w:bCs w:val="0"/>
          <w:color w:val="000080"/>
        </w:rPr>
        <w:t xml:space="preserve">The table </w:t>
      </w:r>
      <w:r>
        <w:rPr>
          <w:rStyle w:val="Strong"/>
          <w:rFonts w:ascii="Montserrat" w:hAnsi="Montserrat"/>
          <w:b w:val="0"/>
          <w:bCs w:val="0"/>
          <w:color w:val="000080"/>
        </w:rPr>
        <w:t xml:space="preserve">illustrates </w:t>
      </w:r>
      <w:r>
        <w:rPr>
          <w:rStyle w:val="Strong"/>
          <w:rFonts w:ascii="Montserrat" w:hAnsi="Montserrat"/>
          <w:b w:val="0"/>
          <w:bCs w:val="0"/>
          <w:color w:val="000080"/>
        </w:rPr>
        <w:t>information regarding the population in three states in the USA divided by age and economic status.</w:t>
      </w:r>
    </w:p>
    <w:p w14:paraId="6B46F66D" w14:textId="77777777" w:rsidR="007E2D82" w:rsidRDefault="007E2D82" w:rsidP="007E2D82">
      <w:pPr>
        <w:pStyle w:val="NormalWeb"/>
        <w:shd w:val="clear" w:color="auto" w:fill="FFFFFF"/>
        <w:spacing w:before="0" w:beforeAutospacing="0" w:after="0" w:afterAutospacing="0" w:line="375" w:lineRule="atLeast"/>
        <w:rPr>
          <w:rFonts w:ascii="Montserrat" w:hAnsi="Montserrat"/>
          <w:color w:val="000080"/>
        </w:rPr>
      </w:pPr>
      <w:r>
        <w:rPr>
          <w:rStyle w:val="Strong"/>
          <w:rFonts w:ascii="Montserrat" w:hAnsi="Montserrat"/>
          <w:b w:val="0"/>
          <w:bCs w:val="0"/>
          <w:color w:val="000080"/>
        </w:rPr>
        <w:t>Overall, it can be seen tha</w:t>
      </w:r>
      <w:r>
        <w:rPr>
          <w:rStyle w:val="Strong"/>
          <w:rFonts w:ascii="Montserrat" w:hAnsi="Montserrat"/>
          <w:b w:val="0"/>
          <w:bCs w:val="0"/>
          <w:color w:val="000080"/>
        </w:rPr>
        <w:t>t</w:t>
      </w:r>
      <w:r>
        <w:rPr>
          <w:rStyle w:val="Strong"/>
          <w:rFonts w:ascii="Montserrat" w:hAnsi="Montserrat"/>
          <w:b w:val="0"/>
          <w:bCs w:val="0"/>
          <w:color w:val="000080"/>
        </w:rPr>
        <w:t xml:space="preserve"> </w:t>
      </w:r>
      <w:r w:rsidRPr="007E2D82">
        <w:rPr>
          <w:rFonts w:ascii="Montserrat" w:hAnsi="Montserrat"/>
          <w:color w:val="000080"/>
        </w:rPr>
        <w:t>there are more young individuals in Utah, while those over 60 in poverty are more common in California and especially Florida. Average incomes are generally highest in California and Florida and the largest proportion of total residents in poverty is highest in California, followed by Florida, and lastly Utah.</w:t>
      </w:r>
    </w:p>
    <w:p w14:paraId="6EAC3A9D" w14:textId="56D6033C" w:rsidR="007E2D82" w:rsidRDefault="007E2D82" w:rsidP="007E2D82">
      <w:pPr>
        <w:pStyle w:val="NormalWeb"/>
        <w:shd w:val="clear" w:color="auto" w:fill="FFFFFF"/>
        <w:spacing w:before="0" w:beforeAutospacing="0" w:after="0" w:afterAutospacing="0" w:line="375" w:lineRule="atLeast"/>
        <w:rPr>
          <w:rFonts w:ascii="Montserrat" w:hAnsi="Montserrat"/>
          <w:color w:val="717171"/>
        </w:rPr>
      </w:pPr>
      <w:r>
        <w:rPr>
          <w:rStyle w:val="Strong"/>
          <w:rFonts w:ascii="Montserrat" w:hAnsi="Montserrat"/>
          <w:b w:val="0"/>
          <w:bCs w:val="0"/>
          <w:color w:val="000080"/>
        </w:rPr>
        <w:t>As per the table, the highest proportion of young people is in Utah. Nearly 28% of its population is under 18, which is more than 10% than Florida’s (16%) and California’s (17%). On the other hand, the older population is the highest in Florida. The rate of people who is over 60 in Florida is 23%, which is exactly 10 more than California’s and 15 more than Utah’s.</w:t>
      </w:r>
    </w:p>
    <w:p w14:paraId="60517B0A" w14:textId="77777777" w:rsidR="007E2D82" w:rsidRDefault="007E2D82" w:rsidP="007E2D82">
      <w:pPr>
        <w:pStyle w:val="NormalWeb"/>
        <w:shd w:val="clear" w:color="auto" w:fill="FFFFFF"/>
        <w:spacing w:before="0" w:beforeAutospacing="0" w:after="0" w:afterAutospacing="0" w:line="375" w:lineRule="atLeast"/>
        <w:rPr>
          <w:rFonts w:ascii="Montserrat" w:hAnsi="Montserrat"/>
          <w:color w:val="717171"/>
        </w:rPr>
      </w:pPr>
      <w:r>
        <w:rPr>
          <w:rStyle w:val="Strong"/>
          <w:rFonts w:ascii="Montserrat" w:hAnsi="Montserrat"/>
          <w:b w:val="0"/>
          <w:bCs w:val="0"/>
          <w:color w:val="000080"/>
        </w:rPr>
        <w:t>Turning to the annual earnings of an average individual, California stands first. This accounts for $23,000, which is $1000 more than an individual in Florida, and $6000 more than a resident of Utah. However, 16% of its population live under the poverty line, which is 4% more than in Florida. Utah has the least proportion of people living under the poverty line (9%).</w:t>
      </w:r>
    </w:p>
    <w:p w14:paraId="04879AB1" w14:textId="77777777" w:rsidR="00015336" w:rsidRDefault="00015336"/>
    <w:sectPr w:rsidR="00015336" w:rsidSect="007E2D82">
      <w:pgSz w:w="12240" w:h="15840"/>
      <w:pgMar w:top="72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D82"/>
    <w:rsid w:val="00015336"/>
    <w:rsid w:val="007E2D82"/>
    <w:rsid w:val="00900C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0A031"/>
  <w15:chartTrackingRefBased/>
  <w15:docId w15:val="{95959629-B303-4832-85B3-B671D94C9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E2D8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2D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52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179</Words>
  <Characters>1026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torkashvand</dc:creator>
  <cp:keywords/>
  <dc:description/>
  <cp:lastModifiedBy>javad torkashvand</cp:lastModifiedBy>
  <cp:revision>1</cp:revision>
  <dcterms:created xsi:type="dcterms:W3CDTF">2023-01-08T12:50:00Z</dcterms:created>
  <dcterms:modified xsi:type="dcterms:W3CDTF">2023-01-08T13:25:00Z</dcterms:modified>
</cp:coreProperties>
</file>